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64"/>
        <w:gridCol w:w="36"/>
      </w:tblGrid>
      <w:tr w:rsidR="009803FC" w:rsidRPr="009803FC" w14:paraId="1C7359F3" w14:textId="77777777" w:rsidTr="009803FC">
        <w:trPr>
          <w:jc w:val="center"/>
        </w:trPr>
        <w:tc>
          <w:tcPr>
            <w:tcW w:w="0" w:type="auto"/>
            <w:gridSpan w:val="2"/>
            <w:tcBorders>
              <w:top w:val="single" w:sz="6" w:space="0" w:color="CCCCCC"/>
              <w:left w:val="single" w:sz="6" w:space="0" w:color="CCCCCC"/>
              <w:bottom w:val="single" w:sz="6" w:space="0" w:color="CCCCCC"/>
              <w:right w:val="single" w:sz="6" w:space="0" w:color="CCCCCC"/>
            </w:tcBorders>
            <w:tcMar>
              <w:top w:w="195" w:type="dxa"/>
              <w:left w:w="195" w:type="dxa"/>
              <w:bottom w:w="195" w:type="dxa"/>
              <w:right w:w="195" w:type="dxa"/>
            </w:tcMar>
            <w:hideMark/>
          </w:tcPr>
          <w:p w14:paraId="3641FC28" w14:textId="77777777" w:rsidR="009803FC" w:rsidRPr="009803FC" w:rsidRDefault="009803FC" w:rsidP="009803FC">
            <w:pPr>
              <w:rPr>
                <w:b/>
                <w:bCs/>
              </w:rPr>
            </w:pPr>
            <w:r w:rsidRPr="00F964BC">
              <w:rPr>
                <w:b/>
                <w:bCs/>
                <w:highlight w:val="yellow"/>
              </w:rPr>
              <w:t>3月3日（水）東京大学高齢社会総合研究機構Webシンポジウム</w:t>
            </w:r>
            <w:r w:rsidRPr="009803FC">
              <w:rPr>
                <w:b/>
                <w:bCs/>
              </w:rPr>
              <w:br/>
              <w:t>「高齢社会の未来協創〜総合知で挑むwith/postコロナ時代〜」開催のお知らせ</w:t>
            </w:r>
            <w:r w:rsidRPr="009803FC">
              <w:rPr>
                <w:b/>
                <w:bCs/>
              </w:rPr>
              <w:br/>
              <w:t>Collaborative creation in future super-ageing society/community – New challenges targeting “with/post CORONA Era” with comprehensive knowledge-</w:t>
            </w:r>
          </w:p>
        </w:tc>
      </w:tr>
      <w:tr w:rsidR="009803FC" w:rsidRPr="009803FC" w14:paraId="2D641E7A" w14:textId="77777777" w:rsidTr="009803FC">
        <w:trPr>
          <w:jc w:val="center"/>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104E7827" w14:textId="77777777" w:rsidR="009803FC" w:rsidRPr="009803FC" w:rsidRDefault="009803FC" w:rsidP="009803FC">
            <w:r w:rsidRPr="009803FC">
              <w:t>この1年、世界はCOVID-19により多方面に大きな打撃・影響を受け、高齢社会が抱えてきた脆弱性が浮き彫りになりました。しかし同時に、新たな可能性が広がった領域も少なくありません。新生IOGの活動も多くの影響を受ける中で、新たな研究や多様な連携の芽も生まれてきております。コロナ禍を超えて高齢社会の未来の姿を模索する上で、これまで以上に総合知が求められています。</w:t>
            </w:r>
            <w:r w:rsidRPr="009803FC">
              <w:br/>
              <w:t>東京大学では、2020年4月より高齢社会総合研究機構（IOG）が、学内9研究科、2研究センターの連携研究機構として改めて始動しました。これまで10年の横断型・アクションリサーチ型研究教育活動を基盤とし、地域連携、産学連携、政策提言を柱とした「総合高齢社会学：ジェロントロジー」をこれまで以上に熱く推し進めていきます。シンポジウムでは、前半でIOGがこの1年取り組んできた産学官民連携での研究・教育活動を報告するとともに、後半ではCOVID-19の先の高齢社会の未来をどのように描くか、そこに学術界が民産官とともにどのように貢献していくべきであるか、議論する場を設けます。</w:t>
            </w:r>
            <w:r w:rsidRPr="009803FC">
              <w:br/>
              <w:t>主な対象は学内外の研究教育関係者、ジェロントロジーに関わる産官民の皆様です。</w:t>
            </w:r>
          </w:p>
        </w:tc>
      </w:tr>
      <w:tr w:rsidR="009803FC" w:rsidRPr="009803FC" w14:paraId="7FE5CFF7" w14:textId="77777777" w:rsidTr="009803FC">
        <w:trPr>
          <w:jc w:val="center"/>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74F1EB89" w14:textId="77777777" w:rsidR="009803FC" w:rsidRPr="009803FC" w:rsidRDefault="009803FC" w:rsidP="009803FC">
            <w:r w:rsidRPr="009803FC">
              <w:rPr>
                <w:b/>
                <w:bCs/>
              </w:rPr>
              <w:t>日　時：</w:t>
            </w:r>
            <w:r w:rsidRPr="009803FC">
              <w:t>2021年3月3日（水）　13:30-16:30</w:t>
            </w:r>
            <w:r w:rsidRPr="009803FC">
              <w:br/>
            </w:r>
            <w:r w:rsidRPr="009803FC">
              <w:rPr>
                <w:b/>
                <w:bCs/>
              </w:rPr>
              <w:t>会　場：</w:t>
            </w:r>
            <w:r w:rsidRPr="009803FC">
              <w:t>Web会議形式（Zoomでのオンライン開催）</w:t>
            </w:r>
            <w:r w:rsidRPr="009803FC">
              <w:br/>
            </w:r>
            <w:r w:rsidRPr="009803FC">
              <w:rPr>
                <w:b/>
                <w:bCs/>
              </w:rPr>
              <w:t>登録方法：</w:t>
            </w:r>
            <w:hyperlink r:id="rId4" w:tgtFrame="_blank" w:history="1">
              <w:r w:rsidRPr="009803FC">
                <w:rPr>
                  <w:rStyle w:val="a3"/>
                </w:rPr>
                <w:t>こちら</w:t>
              </w:r>
            </w:hyperlink>
            <w:r w:rsidRPr="009803FC">
              <w:t>のフォームより事前登録が必要です</w:t>
            </w:r>
            <w:r w:rsidRPr="009803FC">
              <w:br/>
            </w:r>
            <w:r w:rsidRPr="009803FC">
              <w:rPr>
                <w:b/>
                <w:bCs/>
              </w:rPr>
              <w:t>お問い合わせ先：</w:t>
            </w:r>
            <w:r w:rsidRPr="009803FC">
              <w:t>event●iog.u-tokyo.ac.jp（● → @）</w:t>
            </w:r>
            <w:r w:rsidRPr="009803FC">
              <w:br/>
            </w:r>
            <w:r w:rsidRPr="009803FC">
              <w:rPr>
                <w:b/>
                <w:bCs/>
              </w:rPr>
              <w:t>主　催：</w:t>
            </w:r>
            <w:r w:rsidRPr="009803FC">
              <w:t>東京大学高齢社会総合研究機構（IOG）</w:t>
            </w:r>
            <w:r w:rsidRPr="009803FC">
              <w:br/>
            </w:r>
            <w:r w:rsidRPr="009803FC">
              <w:rPr>
                <w:b/>
                <w:bCs/>
              </w:rPr>
              <w:t>共　催：</w:t>
            </w:r>
            <w:r w:rsidRPr="009803FC">
              <w:t>東京大学未来ビジョン研究センター（IFI）</w:t>
            </w:r>
            <w:r w:rsidRPr="009803FC">
              <w:br/>
            </w:r>
            <w:r w:rsidRPr="009803FC">
              <w:rPr>
                <w:b/>
                <w:bCs/>
              </w:rPr>
              <w:t>言　語：</w:t>
            </w:r>
            <w:r w:rsidRPr="009803FC">
              <w:t>日本語</w:t>
            </w:r>
          </w:p>
        </w:tc>
      </w:tr>
      <w:tr w:rsidR="009803FC" w:rsidRPr="009803FC" w14:paraId="6F32BF04" w14:textId="77777777" w:rsidTr="009803FC">
        <w:trPr>
          <w:jc w:val="center"/>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2E6837D5" w14:textId="77777777" w:rsidR="009803FC" w:rsidRPr="009803FC" w:rsidRDefault="009803FC" w:rsidP="009803FC">
            <w:r w:rsidRPr="009803FC">
              <w:rPr>
                <w:b/>
                <w:bCs/>
              </w:rPr>
              <w:t>【プログラム】</w:t>
            </w:r>
            <w:r w:rsidRPr="009803FC">
              <w:br/>
              <w:t>■ オープニング</w:t>
            </w:r>
            <w:r w:rsidRPr="009803FC">
              <w:br/>
              <w:t xml:space="preserve">　飯島勝矢(東京大学高齢社会総合研究機構 機構長/東京大学未来ビジョン研究センター 教授)</w:t>
            </w:r>
            <w:r w:rsidRPr="009803FC">
              <w:br/>
              <w:t xml:space="preserve">　染谷隆夫（東京大学大学院工学系研究科長）</w:t>
            </w:r>
            <w:r w:rsidRPr="009803FC">
              <w:br/>
              <w:t xml:space="preserve">　藤原帰一（東京大学未来ビジョン研究センター　センター長）</w:t>
            </w:r>
            <w:r w:rsidRPr="009803FC">
              <w:br/>
              <w:t>■ IOG活動報告</w:t>
            </w:r>
            <w:r w:rsidRPr="009803FC">
              <w:br/>
              <w:t xml:space="preserve">　新たなIOGの活動概要</w:t>
            </w:r>
            <w:r w:rsidRPr="009803FC">
              <w:br/>
              <w:t xml:space="preserve">　地域連携・アクションリサーチの展開</w:t>
            </w:r>
            <w:r w:rsidRPr="009803FC">
              <w:br/>
              <w:t xml:space="preserve">　新たな産学連携の展開：ジェロントロジー・アカデミー</w:t>
            </w:r>
            <w:r w:rsidRPr="009803FC">
              <w:br/>
              <w:t xml:space="preserve">　高齢社会総合研究国際卓越大学院(WINGS-GLAFS)の活動</w:t>
            </w:r>
            <w:r w:rsidRPr="009803FC">
              <w:br/>
              <w:t>■ パネルディスカッション：</w:t>
            </w:r>
            <w:r w:rsidRPr="009803FC">
              <w:br/>
              <w:t>「With/postコロナ時代を見据え総合知で未来社会を協創する」</w:t>
            </w:r>
            <w:r w:rsidRPr="009803FC">
              <w:br/>
              <w:t>産業界、自治体、学内関係者をまじえて議論します</w:t>
            </w:r>
          </w:p>
        </w:tc>
      </w:tr>
      <w:tr w:rsidR="009803FC" w:rsidRPr="009803FC" w14:paraId="01BF7932" w14:textId="77777777" w:rsidTr="009803FC">
        <w:trPr>
          <w:jc w:val="center"/>
        </w:trPr>
        <w:tc>
          <w:tcPr>
            <w:tcW w:w="930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08D6F817" w14:textId="77777777" w:rsidR="009803FC" w:rsidRPr="009803FC" w:rsidRDefault="00F964BC" w:rsidP="009803FC">
            <w:hyperlink r:id="rId5" w:tgtFrame="_blank" w:history="1">
              <w:r w:rsidR="009803FC" w:rsidRPr="009803FC">
                <w:rPr>
                  <w:rStyle w:val="a3"/>
                </w:rPr>
                <w:t>フライヤー（PDF 1MB）</w:t>
              </w:r>
            </w:hyperlink>
          </w:p>
        </w:tc>
        <w:tc>
          <w:tcPr>
            <w:tcW w:w="0" w:type="auto"/>
            <w:vAlign w:val="center"/>
            <w:hideMark/>
          </w:tcPr>
          <w:p w14:paraId="39F832BE" w14:textId="77777777" w:rsidR="009803FC" w:rsidRPr="009803FC" w:rsidRDefault="009803FC" w:rsidP="009803FC"/>
        </w:tc>
      </w:tr>
      <w:tr w:rsidR="009803FC" w:rsidRPr="009803FC" w14:paraId="1D0310FD" w14:textId="77777777" w:rsidTr="009803FC">
        <w:trPr>
          <w:jc w:val="center"/>
        </w:trPr>
        <w:tc>
          <w:tcPr>
            <w:tcW w:w="300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2999224C" w14:textId="5FFBCD77" w:rsidR="009803FC" w:rsidRPr="009803FC" w:rsidRDefault="009803FC" w:rsidP="009803FC">
            <w:r w:rsidRPr="009803FC">
              <w:rPr>
                <w:noProof/>
              </w:rPr>
              <w:lastRenderedPageBreak/>
              <w:drawing>
                <wp:inline distT="0" distB="0" distL="0" distR="0" wp14:anchorId="02762BA2" wp14:editId="61E31725">
                  <wp:extent cx="2120900" cy="2857500"/>
                  <wp:effectExtent l="0" t="0" r="0" b="0"/>
                  <wp:docPr id="2" name="図 2" descr="202103_IOGシンポ_A4flyer_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3_IOGシンポ_A4flyer_02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900" cy="2857500"/>
                          </a:xfrm>
                          <a:prstGeom prst="rect">
                            <a:avLst/>
                          </a:prstGeom>
                          <a:noFill/>
                          <a:ln>
                            <a:noFill/>
                          </a:ln>
                        </pic:spPr>
                      </pic:pic>
                    </a:graphicData>
                  </a:graphic>
                </wp:inline>
              </w:drawing>
            </w:r>
            <w:r w:rsidRPr="009803FC">
              <w:rPr>
                <w:noProof/>
              </w:rPr>
              <w:drawing>
                <wp:inline distT="0" distB="0" distL="0" distR="0" wp14:anchorId="0A7499EE" wp14:editId="05286C12">
                  <wp:extent cx="2114550" cy="2857500"/>
                  <wp:effectExtent l="0" t="0" r="0" b="0"/>
                  <wp:docPr id="1" name="図 1" descr="202103_IOGシンポ_A4flyer_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03_IOGシンポ_A4flyer_02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857500"/>
                          </a:xfrm>
                          <a:prstGeom prst="rect">
                            <a:avLst/>
                          </a:prstGeom>
                          <a:noFill/>
                          <a:ln>
                            <a:noFill/>
                          </a:ln>
                        </pic:spPr>
                      </pic:pic>
                    </a:graphicData>
                  </a:graphic>
                </wp:inline>
              </w:drawing>
            </w:r>
          </w:p>
        </w:tc>
        <w:tc>
          <w:tcPr>
            <w:tcW w:w="0" w:type="auto"/>
            <w:vAlign w:val="center"/>
            <w:hideMark/>
          </w:tcPr>
          <w:p w14:paraId="72C57AC0" w14:textId="77777777" w:rsidR="009803FC" w:rsidRPr="009803FC" w:rsidRDefault="009803FC" w:rsidP="009803FC"/>
        </w:tc>
      </w:tr>
    </w:tbl>
    <w:p w14:paraId="6DE67DD8" w14:textId="77777777" w:rsidR="001A3E3F" w:rsidRDefault="001A3E3F"/>
    <w:sectPr w:rsidR="001A3E3F" w:rsidSect="009803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FC"/>
    <w:rsid w:val="000306D5"/>
    <w:rsid w:val="00032E82"/>
    <w:rsid w:val="000336DF"/>
    <w:rsid w:val="00093270"/>
    <w:rsid w:val="000B7936"/>
    <w:rsid w:val="00151D68"/>
    <w:rsid w:val="00160617"/>
    <w:rsid w:val="001A3E3F"/>
    <w:rsid w:val="00203BCC"/>
    <w:rsid w:val="00213EBD"/>
    <w:rsid w:val="0024018E"/>
    <w:rsid w:val="00253AB0"/>
    <w:rsid w:val="00260F9D"/>
    <w:rsid w:val="00271FFD"/>
    <w:rsid w:val="00295CBB"/>
    <w:rsid w:val="002B474C"/>
    <w:rsid w:val="002B73B5"/>
    <w:rsid w:val="002C68ED"/>
    <w:rsid w:val="002D2AB1"/>
    <w:rsid w:val="002E50DA"/>
    <w:rsid w:val="00310609"/>
    <w:rsid w:val="003324BB"/>
    <w:rsid w:val="003A619C"/>
    <w:rsid w:val="003C1D69"/>
    <w:rsid w:val="003F1A65"/>
    <w:rsid w:val="0041393F"/>
    <w:rsid w:val="00421140"/>
    <w:rsid w:val="0045218B"/>
    <w:rsid w:val="00472304"/>
    <w:rsid w:val="00496733"/>
    <w:rsid w:val="005172EF"/>
    <w:rsid w:val="00531AF1"/>
    <w:rsid w:val="005713C0"/>
    <w:rsid w:val="005923E5"/>
    <w:rsid w:val="005B206F"/>
    <w:rsid w:val="005D17AF"/>
    <w:rsid w:val="00607C2C"/>
    <w:rsid w:val="00617447"/>
    <w:rsid w:val="0066179A"/>
    <w:rsid w:val="00690E0F"/>
    <w:rsid w:val="006E13B0"/>
    <w:rsid w:val="00756DF7"/>
    <w:rsid w:val="00784D36"/>
    <w:rsid w:val="00785C6C"/>
    <w:rsid w:val="007977AA"/>
    <w:rsid w:val="007B4AD5"/>
    <w:rsid w:val="00812909"/>
    <w:rsid w:val="00813E33"/>
    <w:rsid w:val="00823E04"/>
    <w:rsid w:val="00865A35"/>
    <w:rsid w:val="00875817"/>
    <w:rsid w:val="00913A20"/>
    <w:rsid w:val="00964045"/>
    <w:rsid w:val="009803FC"/>
    <w:rsid w:val="00991515"/>
    <w:rsid w:val="009A5F54"/>
    <w:rsid w:val="009E165F"/>
    <w:rsid w:val="00A208CB"/>
    <w:rsid w:val="00A2778E"/>
    <w:rsid w:val="00A521BF"/>
    <w:rsid w:val="00A52796"/>
    <w:rsid w:val="00A566AB"/>
    <w:rsid w:val="00B0181F"/>
    <w:rsid w:val="00B12A90"/>
    <w:rsid w:val="00B51DF4"/>
    <w:rsid w:val="00BD2B8C"/>
    <w:rsid w:val="00C17B36"/>
    <w:rsid w:val="00C51775"/>
    <w:rsid w:val="00C64729"/>
    <w:rsid w:val="00CA1DD9"/>
    <w:rsid w:val="00CC3AA0"/>
    <w:rsid w:val="00D7555B"/>
    <w:rsid w:val="00DA0E55"/>
    <w:rsid w:val="00E24B05"/>
    <w:rsid w:val="00E40D00"/>
    <w:rsid w:val="00E53B73"/>
    <w:rsid w:val="00E84605"/>
    <w:rsid w:val="00E91733"/>
    <w:rsid w:val="00EC795A"/>
    <w:rsid w:val="00F2321D"/>
    <w:rsid w:val="00F64CFD"/>
    <w:rsid w:val="00F964BC"/>
    <w:rsid w:val="00FA79AC"/>
    <w:rsid w:val="00FB072D"/>
    <w:rsid w:val="00FB0E12"/>
    <w:rsid w:val="00FE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D9C306"/>
  <w15:chartTrackingRefBased/>
  <w15:docId w15:val="{DEB6C532-0082-4B4A-B3B4-39BE5150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3FC"/>
    <w:rPr>
      <w:color w:val="0563C1" w:themeColor="hyperlink"/>
      <w:u w:val="single"/>
    </w:rPr>
  </w:style>
  <w:style w:type="character" w:styleId="a4">
    <w:name w:val="Unresolved Mention"/>
    <w:basedOn w:val="a0"/>
    <w:uiPriority w:val="99"/>
    <w:semiHidden/>
    <w:unhideWhenUsed/>
    <w:rsid w:val="0098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95064">
      <w:bodyDiv w:val="1"/>
      <w:marLeft w:val="0"/>
      <w:marRight w:val="0"/>
      <w:marTop w:val="0"/>
      <w:marBottom w:val="0"/>
      <w:divBdr>
        <w:top w:val="none" w:sz="0" w:space="0" w:color="auto"/>
        <w:left w:val="none" w:sz="0" w:space="0" w:color="auto"/>
        <w:bottom w:val="none" w:sz="0" w:space="0" w:color="auto"/>
        <w:right w:val="none" w:sz="0" w:space="0" w:color="auto"/>
      </w:divBdr>
      <w:divsChild>
        <w:div w:id="248320073">
          <w:marLeft w:val="0"/>
          <w:marRight w:val="0"/>
          <w:marTop w:val="0"/>
          <w:marBottom w:val="0"/>
          <w:divBdr>
            <w:top w:val="none" w:sz="0" w:space="0" w:color="auto"/>
            <w:left w:val="none" w:sz="0" w:space="0" w:color="auto"/>
            <w:bottom w:val="none" w:sz="0" w:space="0" w:color="auto"/>
            <w:right w:val="none" w:sz="0" w:space="0" w:color="auto"/>
          </w:divBdr>
          <w:divsChild>
            <w:div w:id="2063746810">
              <w:marLeft w:val="0"/>
              <w:marRight w:val="0"/>
              <w:marTop w:val="450"/>
              <w:marBottom w:val="0"/>
              <w:divBdr>
                <w:top w:val="none" w:sz="0" w:space="0" w:color="auto"/>
                <w:left w:val="none" w:sz="0" w:space="0" w:color="auto"/>
                <w:bottom w:val="none" w:sz="0" w:space="0" w:color="auto"/>
                <w:right w:val="none" w:sz="0" w:space="0" w:color="auto"/>
              </w:divBdr>
              <w:divsChild>
                <w:div w:id="261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og.u-tokyo.ac.jp/wp-content/uploads/2021/02/4e857a9fa28d23306e3e03971fea9029.pdf" TargetMode="External"/><Relationship Id="rId4" Type="http://schemas.openxmlformats.org/officeDocument/2006/relationships/hyperlink" Target="https://zoom.us/webinar/register/WN_7GzyY3_mR5iFb0AfyRpNow"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隆志</dc:creator>
  <cp:keywords/>
  <dc:description/>
  <cp:lastModifiedBy>松浦 隆志</cp:lastModifiedBy>
  <cp:revision>3</cp:revision>
  <dcterms:created xsi:type="dcterms:W3CDTF">2021-02-17T03:36:00Z</dcterms:created>
  <dcterms:modified xsi:type="dcterms:W3CDTF">2021-02-17T04:09:00Z</dcterms:modified>
</cp:coreProperties>
</file>